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BonaNOWY poleca się na gorące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 BonaNOWY pojawił się w wybranych lodziarniach sieci LodyBonano kilka tygodni temu. Właściciele tych lokali twierdzą, że będzie to prawdziwy hit tego lata. Lody z dodatkami świeżych owoców już cieszą się dużą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Ekologiczna formuła deseru BonaNOWY przypadła do gustu klientom sieci LodyBonano. Kraftowy kubeczek, lody o smaku śmietanki oraz kawałki dojrzałych owoców, prosto od lokalnych dostawców – to ochłoda i zastrzyk witamin 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BonaNOWY to jeden z lepiej sprzedających się deserów w ofercie </w:t>
      </w:r>
      <w:r>
        <w:rPr>
          <w:rFonts w:ascii="calibri" w:hAnsi="calibri" w:eastAsia="calibri" w:cs="calibri"/>
          <w:sz w:val="24"/>
          <w:szCs w:val="24"/>
        </w:rPr>
        <w:t xml:space="preserve">– mówi Marek Potrzebko, właściciel lodobusa LodyBonano w Tykocinie.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Smakuje zarówno dzieciom, jak i dorosłym. Goście cenią go sobie także za poręczne opakowanie. Nie wszyscy chcą lub mogą jeść wafelki od lodów, a ekologiczny kubeczek sprawdza się idealnie.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Lodobus Marka Potrzebko zawitał do zabytkowego Tykocina w czerwcu tego roku. W tej turystycznej miejscowości lodziarnia od razu zaczęła się cieszyć dużym powodzeniem, głównie ze względu na odświeżoną ofertę popularnej sieci. Lokale, w których dostaniemy deser BonaNOWY przeszły bowiem zmianę całego menu. Ich właściciele postawili na minimalizm, a liczba pozycji została ograniczona jedynie do tych najpopularniejszych. Koncept BonaNOWY spotkać można także w Białymstoku, Augustowie, Ełku, Wyszkowie, Żarach, Wąbrzeźnie oraz Wschowej.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na mapie naszego kraju pojawiło się w sumie kilkanaście nowych lokali marki LodyBonano – czołowej franczyzy lodowej w Polsce. Za właścicielami i klientami lodziarni już trzy ogólnopolskie akcje promocyjne – z okazji I Komunii Świętej, Dnia Dziecka (o której można było usłyszeć na antenie radia RMF FM) oraz zakończenia roku szkolnego. Teraz przed nimi najgorętszy, wakacyjny okres.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Zeszłe lato było dla właścicieli lodziarni niezwykle udane – w sumie sprzedali oni 15 milionów porcji lodowych przysmaków. Mamy nadzieję, że w tym roku utrzymamy ten doskonały wynik. Tym bardziej że pogoda ma nam sprzyjać – zapowiadają się naprawdę upalne miesiące </w:t>
      </w:r>
      <w:r>
        <w:rPr>
          <w:rFonts w:ascii="calibri" w:hAnsi="calibri" w:eastAsia="calibri" w:cs="calibri"/>
          <w:sz w:val="24"/>
          <w:szCs w:val="24"/>
        </w:rPr>
        <w:t xml:space="preserve">– podsumowuje Monika Zalewska, manager rozwoju sieci LodyBonano.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2026-07-04T06:33:13+02:00</dcterms:created>
  <dcterms:modified xsi:type="dcterms:W3CDTF">2026-07-04T06:33:13+02:00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